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677B7" w14:textId="477B83E7" w:rsidR="003E5ACC" w:rsidRDefault="003E5ACC" w:rsidP="003E5ACC">
      <w:pPr>
        <w:jc w:val="center"/>
        <w:rPr>
          <w:rFonts w:ascii="Arial" w:hAnsi="Arial" w:cs="Arial"/>
          <w:b/>
          <w:bCs/>
          <w:color w:val="000000"/>
          <w:sz w:val="20"/>
          <w:szCs w:val="20"/>
        </w:rPr>
      </w:pPr>
      <w:bookmarkStart w:id="0" w:name="_Hlk94639819"/>
      <w:r>
        <w:rPr>
          <w:rFonts w:ascii="Arial" w:hAnsi="Arial" w:cs="Arial"/>
          <w:b/>
          <w:bCs/>
          <w:color w:val="000000"/>
          <w:sz w:val="20"/>
          <w:szCs w:val="20"/>
        </w:rPr>
        <w:t>Emerging Technologies</w:t>
      </w:r>
    </w:p>
    <w:tbl>
      <w:tblPr>
        <w:tblStyle w:val="TableGrid"/>
        <w:tblW w:w="0" w:type="auto"/>
        <w:tblLook w:val="04A0" w:firstRow="1" w:lastRow="0" w:firstColumn="1" w:lastColumn="0" w:noHBand="0" w:noVBand="1"/>
      </w:tblPr>
      <w:tblGrid>
        <w:gridCol w:w="805"/>
        <w:gridCol w:w="8211"/>
      </w:tblGrid>
      <w:tr w:rsidR="003E5ACC" w14:paraId="4400FEF9" w14:textId="77777777" w:rsidTr="003E5ACC">
        <w:tc>
          <w:tcPr>
            <w:tcW w:w="704" w:type="dxa"/>
          </w:tcPr>
          <w:p w14:paraId="6FE5DE79" w14:textId="23709A13" w:rsidR="003E5ACC" w:rsidRDefault="003E5ACC" w:rsidP="003E5ACC">
            <w:pPr>
              <w:jc w:val="center"/>
              <w:rPr>
                <w:rFonts w:ascii="Arial" w:hAnsi="Arial" w:cs="Arial"/>
                <w:b/>
                <w:bCs/>
                <w:color w:val="000000"/>
                <w:sz w:val="20"/>
                <w:szCs w:val="20"/>
              </w:rPr>
            </w:pPr>
            <w:proofErr w:type="spellStart"/>
            <w:r>
              <w:rPr>
                <w:rFonts w:ascii="Arial" w:hAnsi="Arial" w:cs="Arial"/>
                <w:b/>
                <w:bCs/>
                <w:color w:val="000000"/>
                <w:sz w:val="20"/>
                <w:szCs w:val="20"/>
              </w:rPr>
              <w:t>Sr.No</w:t>
            </w:r>
            <w:proofErr w:type="spellEnd"/>
            <w:r>
              <w:rPr>
                <w:rFonts w:ascii="Arial" w:hAnsi="Arial" w:cs="Arial"/>
                <w:b/>
                <w:bCs/>
                <w:color w:val="000000"/>
                <w:sz w:val="20"/>
                <w:szCs w:val="20"/>
              </w:rPr>
              <w:t>.</w:t>
            </w:r>
          </w:p>
        </w:tc>
        <w:tc>
          <w:tcPr>
            <w:tcW w:w="8312" w:type="dxa"/>
          </w:tcPr>
          <w:p w14:paraId="6094B56D" w14:textId="1ACD4BFE" w:rsidR="003E5ACC" w:rsidRDefault="003E5ACC" w:rsidP="003E5ACC">
            <w:pPr>
              <w:jc w:val="center"/>
              <w:rPr>
                <w:rFonts w:ascii="Arial" w:hAnsi="Arial" w:cs="Arial"/>
                <w:b/>
                <w:bCs/>
                <w:color w:val="000000"/>
                <w:sz w:val="20"/>
                <w:szCs w:val="20"/>
              </w:rPr>
            </w:pPr>
            <w:r>
              <w:rPr>
                <w:rFonts w:ascii="Arial" w:hAnsi="Arial" w:cs="Arial"/>
                <w:b/>
                <w:bCs/>
                <w:color w:val="000000"/>
                <w:sz w:val="20"/>
                <w:szCs w:val="20"/>
              </w:rPr>
              <w:t>RBI Notifications</w:t>
            </w:r>
          </w:p>
        </w:tc>
      </w:tr>
      <w:tr w:rsidR="003E5ACC" w14:paraId="522E3533" w14:textId="77777777" w:rsidTr="003E5ACC">
        <w:tc>
          <w:tcPr>
            <w:tcW w:w="704" w:type="dxa"/>
          </w:tcPr>
          <w:p w14:paraId="75427144" w14:textId="50E8FEB4" w:rsidR="003E5ACC" w:rsidRPr="003E5ACC" w:rsidRDefault="003E5ACC" w:rsidP="003E5ACC">
            <w:pPr>
              <w:jc w:val="center"/>
              <w:rPr>
                <w:rFonts w:cstheme="minorHAnsi"/>
                <w:bCs/>
                <w:color w:val="000000"/>
                <w:sz w:val="20"/>
                <w:szCs w:val="20"/>
              </w:rPr>
            </w:pPr>
            <w:r w:rsidRPr="003E5ACC">
              <w:rPr>
                <w:rFonts w:cstheme="minorHAnsi"/>
                <w:bCs/>
                <w:color w:val="000000"/>
                <w:sz w:val="20"/>
                <w:szCs w:val="20"/>
              </w:rPr>
              <w:t>1</w:t>
            </w:r>
          </w:p>
        </w:tc>
        <w:tc>
          <w:tcPr>
            <w:tcW w:w="8312" w:type="dxa"/>
          </w:tcPr>
          <w:p w14:paraId="1100439A" w14:textId="728A10CE" w:rsidR="003E5ACC" w:rsidRPr="003E5ACC" w:rsidRDefault="003E5ACC" w:rsidP="003E5ACC">
            <w:pPr>
              <w:rPr>
                <w:rFonts w:ascii="Calibri" w:hAnsi="Calibri" w:cs="Calibri"/>
                <w:sz w:val="20"/>
                <w:szCs w:val="20"/>
              </w:rPr>
            </w:pPr>
            <w:r>
              <w:rPr>
                <w:rFonts w:ascii="Calibri" w:hAnsi="Calibri" w:cs="Calibri"/>
                <w:sz w:val="20"/>
                <w:szCs w:val="20"/>
              </w:rPr>
              <w:t>Integrated Ombudsman Scheme, 2021</w:t>
            </w:r>
          </w:p>
        </w:tc>
      </w:tr>
    </w:tbl>
    <w:p w14:paraId="68801F17" w14:textId="77777777" w:rsidR="003E5ACC" w:rsidRDefault="003E5ACC" w:rsidP="003E5ACC">
      <w:pPr>
        <w:jc w:val="center"/>
        <w:rPr>
          <w:rFonts w:ascii="Arial" w:hAnsi="Arial" w:cs="Arial"/>
          <w:b/>
          <w:bCs/>
          <w:color w:val="000000"/>
          <w:sz w:val="20"/>
          <w:szCs w:val="20"/>
        </w:rPr>
      </w:pPr>
    </w:p>
    <w:p w14:paraId="25DA1898" w14:textId="77777777" w:rsidR="003E5ACC" w:rsidRDefault="003E5ACC" w:rsidP="00E727E0">
      <w:pPr>
        <w:rPr>
          <w:rFonts w:ascii="Arial" w:hAnsi="Arial" w:cs="Arial"/>
          <w:b/>
          <w:bCs/>
          <w:color w:val="000000"/>
          <w:sz w:val="20"/>
          <w:szCs w:val="20"/>
        </w:rPr>
      </w:pPr>
    </w:p>
    <w:p w14:paraId="6BCB9990" w14:textId="203B813F" w:rsidR="00E727E0" w:rsidRDefault="00E727E0" w:rsidP="00E727E0">
      <w:pPr>
        <w:rPr>
          <w:rFonts w:ascii="Arial" w:hAnsi="Arial" w:cs="Arial"/>
          <w:b/>
          <w:bCs/>
          <w:color w:val="000000"/>
          <w:sz w:val="20"/>
          <w:szCs w:val="20"/>
        </w:rPr>
      </w:pPr>
      <w:bookmarkStart w:id="1" w:name="_GoBack"/>
      <w:bookmarkEnd w:id="1"/>
      <w:r>
        <w:rPr>
          <w:rFonts w:ascii="Arial" w:hAnsi="Arial" w:cs="Arial"/>
          <w:b/>
          <w:bCs/>
          <w:color w:val="000000"/>
          <w:sz w:val="20"/>
          <w:szCs w:val="20"/>
        </w:rPr>
        <w:t>Reserve Bank - Integrated Ombudsman Scheme, 2021</w:t>
      </w:r>
    </w:p>
    <w:p w14:paraId="7CCF1E6C" w14:textId="77777777" w:rsidR="00E727E0" w:rsidRPr="00C36E46" w:rsidRDefault="00E727E0" w:rsidP="00E727E0">
      <w:pPr>
        <w:rPr>
          <w:b/>
          <w:bCs/>
        </w:rPr>
      </w:pPr>
      <w:r w:rsidRPr="00C36E46">
        <w:rPr>
          <w:b/>
          <w:bCs/>
        </w:rPr>
        <w:t>DEPUTY GOVERNOR</w:t>
      </w:r>
    </w:p>
    <w:p w14:paraId="30CF11D7" w14:textId="77777777" w:rsidR="00E727E0" w:rsidRPr="00C36E46" w:rsidRDefault="00E727E0" w:rsidP="00E727E0">
      <w:pPr>
        <w:rPr>
          <w:b/>
          <w:bCs/>
        </w:rPr>
      </w:pPr>
      <w:r w:rsidRPr="00C36E46">
        <w:rPr>
          <w:b/>
          <w:bCs/>
        </w:rPr>
        <w:t>Reserve Bank of India</w:t>
      </w:r>
      <w:r w:rsidRPr="00C36E46">
        <w:rPr>
          <w:b/>
          <w:bCs/>
        </w:rPr>
        <w:br/>
        <w:t>Mumbai</w:t>
      </w:r>
    </w:p>
    <w:p w14:paraId="12EC41A5" w14:textId="77777777" w:rsidR="00E727E0" w:rsidRPr="00C36E46" w:rsidRDefault="00E727E0" w:rsidP="00E727E0">
      <w:pPr>
        <w:rPr>
          <w:b/>
          <w:bCs/>
        </w:rPr>
      </w:pPr>
      <w:r w:rsidRPr="00C36E46">
        <w:rPr>
          <w:b/>
          <w:bCs/>
        </w:rPr>
        <w:t> </w:t>
      </w:r>
    </w:p>
    <w:p w14:paraId="0C9F16EF" w14:textId="77777777" w:rsidR="00E727E0" w:rsidRPr="00C36E46" w:rsidRDefault="00E727E0" w:rsidP="00E727E0">
      <w:pPr>
        <w:rPr>
          <w:b/>
          <w:bCs/>
        </w:rPr>
      </w:pPr>
      <w:r w:rsidRPr="00C36E46">
        <w:rPr>
          <w:b/>
          <w:bCs/>
        </w:rPr>
        <w:t>Reserve Bank - Integrated Ombudsman Scheme, 2021</w:t>
      </w:r>
    </w:p>
    <w:p w14:paraId="4E3F86F2" w14:textId="77777777" w:rsidR="00E727E0" w:rsidRPr="00C36E46" w:rsidRDefault="00E727E0" w:rsidP="00E727E0">
      <w:pPr>
        <w:rPr>
          <w:b/>
          <w:bCs/>
        </w:rPr>
      </w:pPr>
      <w:r w:rsidRPr="00C36E46">
        <w:rPr>
          <w:b/>
          <w:bCs/>
          <w:u w:val="single"/>
        </w:rPr>
        <w:t>NOTIFICATION</w:t>
      </w:r>
    </w:p>
    <w:p w14:paraId="7628CDA0" w14:textId="77777777" w:rsidR="00E727E0" w:rsidRPr="00C36E46" w:rsidRDefault="00E727E0" w:rsidP="00E727E0">
      <w:r w:rsidRPr="00C36E46">
        <w:t xml:space="preserve">Ref. CEPD. PRD. </w:t>
      </w:r>
      <w:proofErr w:type="gramStart"/>
      <w:r w:rsidRPr="00C36E46">
        <w:t>No.S</w:t>
      </w:r>
      <w:proofErr w:type="gramEnd"/>
      <w:r w:rsidRPr="00C36E46">
        <w:t>873/13.01.001/2021-22</w:t>
      </w:r>
    </w:p>
    <w:p w14:paraId="1665598E" w14:textId="77777777" w:rsidR="00E727E0" w:rsidRPr="00C36E46" w:rsidRDefault="00E727E0" w:rsidP="00E727E0">
      <w:r w:rsidRPr="00C36E46">
        <w:t>November 12, 2021</w:t>
      </w:r>
    </w:p>
    <w:p w14:paraId="49295BC0" w14:textId="77777777" w:rsidR="00E727E0" w:rsidRPr="00C36E46" w:rsidRDefault="00E727E0" w:rsidP="00E727E0">
      <w:r w:rsidRPr="00C36E46">
        <w:t>In exercise of the powers conferred by Section 35A of the Banking Regulation Act, 1949 (10 of 1949), Section 45L of the Reserve Bank of India Act, 1934 (2 of 1934) and Section 18 of the Payment and Settlement Systems Act, 2007 (51 of 2007), and in supersession of its Notifications Ref. (</w:t>
      </w:r>
      <w:proofErr w:type="spellStart"/>
      <w:r w:rsidRPr="00C36E46">
        <w:t>i</w:t>
      </w:r>
      <w:proofErr w:type="spellEnd"/>
      <w:r w:rsidRPr="00C36E46">
        <w:t>) CEPD. PRS. No. 6317/13.01.01/2016-17 dated June 16, 2017; (ii) </w:t>
      </w:r>
      <w:hyperlink r:id="rId5" w:tgtFrame="_blank" w:history="1">
        <w:r w:rsidRPr="00C36E46">
          <w:rPr>
            <w:rStyle w:val="Hyperlink"/>
          </w:rPr>
          <w:t>CEPD. PRS. No. 3590/13.01.004/2017-18 dated February 23, 2018</w:t>
        </w:r>
      </w:hyperlink>
      <w:r w:rsidRPr="00C36E46">
        <w:t>; and (iii) </w:t>
      </w:r>
      <w:hyperlink r:id="rId6" w:tgtFrame="_blank" w:history="1">
        <w:r w:rsidRPr="00C36E46">
          <w:rPr>
            <w:rStyle w:val="Hyperlink"/>
          </w:rPr>
          <w:t>CEPD. PRS. No. 3370/13.01.010/2018-19 dated January 31, 2019</w:t>
        </w:r>
      </w:hyperlink>
      <w:r w:rsidRPr="00C36E46">
        <w:t>, the Reserve Bank of India, being satisfied that it is in public interest to do so, and to make the alternate dispute redress mechanism simpler and more responsive to the customers of entities regulated by it, hereby integrates the three Ombudsman schemes – (</w:t>
      </w:r>
      <w:proofErr w:type="spellStart"/>
      <w:r w:rsidRPr="00C36E46">
        <w:t>i</w:t>
      </w:r>
      <w:proofErr w:type="spellEnd"/>
      <w:r w:rsidRPr="00C36E46">
        <w:t>) </w:t>
      </w:r>
      <w:hyperlink r:id="rId7" w:tgtFrame="_blank" w:history="1">
        <w:r w:rsidRPr="00C36E46">
          <w:rPr>
            <w:rStyle w:val="Hyperlink"/>
          </w:rPr>
          <w:t>the Banking Ombudsman Scheme, 2006</w:t>
        </w:r>
      </w:hyperlink>
      <w:r w:rsidRPr="00C36E46">
        <w:t>, as amended up to July 01, 2017; (ii) </w:t>
      </w:r>
      <w:hyperlink r:id="rId8" w:tgtFrame="_blank" w:history="1">
        <w:r w:rsidRPr="00C36E46">
          <w:rPr>
            <w:rStyle w:val="Hyperlink"/>
          </w:rPr>
          <w:t>the Ombudsman Scheme for Non-Banking Financial Companies, 2018</w:t>
        </w:r>
      </w:hyperlink>
      <w:r w:rsidRPr="00C36E46">
        <w:t>; and (iii) </w:t>
      </w:r>
      <w:hyperlink r:id="rId9" w:tgtFrame="_blank" w:history="1">
        <w:r w:rsidRPr="00C36E46">
          <w:rPr>
            <w:rStyle w:val="Hyperlink"/>
          </w:rPr>
          <w:t>the Ombudsman Scheme for Digital Transactions, 2019</w:t>
        </w:r>
      </w:hyperlink>
      <w:r w:rsidRPr="00C36E46">
        <w:t> into the Reserve Bank - Integrated Ombudsman Scheme, 2021 (the Scheme).</w:t>
      </w:r>
    </w:p>
    <w:p w14:paraId="52B1B34F" w14:textId="77777777" w:rsidR="00E727E0" w:rsidRPr="00C36E46" w:rsidRDefault="00E727E0" w:rsidP="00E727E0">
      <w:r w:rsidRPr="00C36E46">
        <w:t>2. The Scheme covers the following regulated entities:</w:t>
      </w:r>
    </w:p>
    <w:p w14:paraId="0638C062" w14:textId="77777777" w:rsidR="00E727E0" w:rsidRPr="00C36E46" w:rsidRDefault="00E727E0" w:rsidP="00E727E0">
      <w:pPr>
        <w:numPr>
          <w:ilvl w:val="0"/>
          <w:numId w:val="1"/>
        </w:numPr>
      </w:pPr>
      <w:r w:rsidRPr="00C36E46">
        <w:t>all Commercial Banks, Regional Rural Banks, Scheduled Primary (Urban) Co-operative Banks and Non-Scheduled Primary (Urban) Co-operative Banks with deposits size of Rupees 50 crore and above as on the date of the audited balance sheet of the previous financial year;</w:t>
      </w:r>
    </w:p>
    <w:p w14:paraId="4A392B8B" w14:textId="77777777" w:rsidR="00E727E0" w:rsidRPr="00C36E46" w:rsidRDefault="00E727E0" w:rsidP="00E727E0">
      <w:pPr>
        <w:numPr>
          <w:ilvl w:val="0"/>
          <w:numId w:val="1"/>
        </w:numPr>
      </w:pPr>
      <w:r w:rsidRPr="00C36E46">
        <w:t>all Non-Banking Financial Companies (excluding Housing Finance Companies) which (a) are authorised to accept deposits; or (b) have customer interface, with an assets size of Rupees 100 crore and above as on the date of the audited balance sheet of the previous financial year;</w:t>
      </w:r>
    </w:p>
    <w:p w14:paraId="0E485954" w14:textId="77777777" w:rsidR="00E727E0" w:rsidRPr="00C36E46" w:rsidRDefault="00E727E0" w:rsidP="00E727E0">
      <w:pPr>
        <w:numPr>
          <w:ilvl w:val="0"/>
          <w:numId w:val="1"/>
        </w:numPr>
      </w:pPr>
      <w:r w:rsidRPr="00C36E46">
        <w:t>all System Participants as defined under the Scheme.</w:t>
      </w:r>
    </w:p>
    <w:p w14:paraId="0897993A" w14:textId="77777777" w:rsidR="00E727E0" w:rsidRPr="00C36E46" w:rsidRDefault="00E727E0" w:rsidP="00E727E0">
      <w:r w:rsidRPr="00C36E46">
        <w:t>3. The regulated entities shall comply with the Scheme from the date of its implementation.</w:t>
      </w:r>
    </w:p>
    <w:p w14:paraId="3ADDF1E7" w14:textId="77777777" w:rsidR="00E727E0" w:rsidRPr="00C36E46" w:rsidRDefault="00E727E0" w:rsidP="00E727E0">
      <w:r w:rsidRPr="00C36E46">
        <w:t>4. The format for filing a complaint under the Scheme is </w:t>
      </w:r>
      <w:hyperlink r:id="rId10" w:tgtFrame="_blank" w:history="1">
        <w:r w:rsidRPr="00C36E46">
          <w:rPr>
            <w:rStyle w:val="Hyperlink"/>
          </w:rPr>
          <w:t>annexed</w:t>
        </w:r>
      </w:hyperlink>
      <w:r w:rsidRPr="00C36E46">
        <w:t>.</w:t>
      </w:r>
    </w:p>
    <w:p w14:paraId="6F960EB8" w14:textId="77777777" w:rsidR="00E727E0" w:rsidRPr="00C36E46" w:rsidRDefault="00E727E0" w:rsidP="00E727E0">
      <w:r w:rsidRPr="00C36E46">
        <w:t>5. The </w:t>
      </w:r>
      <w:hyperlink r:id="rId11" w:tgtFrame="_blank" w:history="1">
        <w:r w:rsidRPr="00C36E46">
          <w:rPr>
            <w:rStyle w:val="Hyperlink"/>
          </w:rPr>
          <w:t>Scheme</w:t>
        </w:r>
      </w:hyperlink>
      <w:r w:rsidRPr="00C36E46">
        <w:t> shall come into force from November 12, 2021.</w:t>
      </w:r>
    </w:p>
    <w:p w14:paraId="6ABFA6F2" w14:textId="77777777" w:rsidR="00E727E0" w:rsidRPr="00C36E46" w:rsidRDefault="00E727E0" w:rsidP="00E727E0">
      <w:r w:rsidRPr="00C36E46">
        <w:t>(M. K. Jain)</w:t>
      </w:r>
    </w:p>
    <w:p w14:paraId="557486BA" w14:textId="77777777" w:rsidR="00E727E0" w:rsidRDefault="00E727E0" w:rsidP="00E727E0">
      <w:r>
        <w:lastRenderedPageBreak/>
        <w:t xml:space="preserve">Reference link: </w:t>
      </w:r>
      <w:hyperlink r:id="rId12" w:history="1">
        <w:r w:rsidRPr="00D972C1">
          <w:rPr>
            <w:rStyle w:val="Hyperlink"/>
          </w:rPr>
          <w:t>https://www.rbi.org.in/Scripts/NotificationUser.aspx?Id=12192&amp;Mode=0</w:t>
        </w:r>
      </w:hyperlink>
    </w:p>
    <w:bookmarkEnd w:id="0"/>
    <w:p w14:paraId="6D350FD2" w14:textId="77777777" w:rsidR="009975ED" w:rsidRDefault="009975ED"/>
    <w:sectPr w:rsidR="009975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03EC2"/>
    <w:multiLevelType w:val="multilevel"/>
    <w:tmpl w:val="D78477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7E0"/>
    <w:rsid w:val="003E5ACC"/>
    <w:rsid w:val="009975ED"/>
    <w:rsid w:val="00E727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4EA9"/>
  <w15:chartTrackingRefBased/>
  <w15:docId w15:val="{AE6684F5-63A6-42A2-A238-8677A81A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7E0"/>
    <w:rPr>
      <w:color w:val="0563C1" w:themeColor="hyperlink"/>
      <w:u w:val="single"/>
    </w:rPr>
  </w:style>
  <w:style w:type="table" w:styleId="TableGrid">
    <w:name w:val="Table Grid"/>
    <w:basedOn w:val="TableNormal"/>
    <w:uiPriority w:val="39"/>
    <w:rsid w:val="003E5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85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docs.rbi.org.in/rdocs/Content/PDFs/NBFC23022018.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bidocs.rbi.org.in/rdocs/Content/PDFs/BOS2006_2302017.pdf" TargetMode="External"/><Relationship Id="rId12" Type="http://schemas.openxmlformats.org/officeDocument/2006/relationships/hyperlink" Target="https://www.rbi.org.in/Scripts/NotificationUser.aspx?Id=12192&amp;Mod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bi.org.in/Scripts/NotificationUser.aspx?Id=11461&amp;Mode=0" TargetMode="External"/><Relationship Id="rId11" Type="http://schemas.openxmlformats.org/officeDocument/2006/relationships/hyperlink" Target="https://rbidocs.rbi.org.in/rdocs/content/pdfs/RBIOS2021_121121.pdf" TargetMode="External"/><Relationship Id="rId5" Type="http://schemas.openxmlformats.org/officeDocument/2006/relationships/hyperlink" Target="https://rbi.org.in/Scripts/NotificationUser.aspx?Id=11220&amp;Mode=0" TargetMode="External"/><Relationship Id="rId10" Type="http://schemas.openxmlformats.org/officeDocument/2006/relationships/hyperlink" Target="https://rbidocs.rbi.org.in/rdocs/content/pdfs/RBIOS2021_121121_A.pdf" TargetMode="External"/><Relationship Id="rId4" Type="http://schemas.openxmlformats.org/officeDocument/2006/relationships/webSettings" Target="webSettings.xml"/><Relationship Id="rId9" Type="http://schemas.openxmlformats.org/officeDocument/2006/relationships/hyperlink" Target="https://rbidocs.rbi.org.in/rdocs/Content/PDFs/OSDT3101201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2581</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2</cp:revision>
  <dcterms:created xsi:type="dcterms:W3CDTF">2022-02-01T15:00:00Z</dcterms:created>
  <dcterms:modified xsi:type="dcterms:W3CDTF">2022-02-08T10:12:00Z</dcterms:modified>
</cp:coreProperties>
</file>